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0551" w:rsidRPr="00A70551" w:rsidRDefault="00A70551" w:rsidP="00C03D63">
      <w:pPr>
        <w:rPr>
          <w:b/>
          <w:sz w:val="32"/>
          <w:szCs w:val="32"/>
        </w:rPr>
      </w:pPr>
      <w:r w:rsidRPr="00A70551">
        <w:rPr>
          <w:b/>
          <w:sz w:val="32"/>
          <w:szCs w:val="32"/>
        </w:rPr>
        <w:t>Goal 8</w:t>
      </w:r>
    </w:p>
    <w:p w:rsidR="00A70551" w:rsidRDefault="00A70551" w:rsidP="00C03D63">
      <w:pPr>
        <w:rPr>
          <w:b/>
          <w:sz w:val="22"/>
          <w:szCs w:val="22"/>
        </w:rPr>
      </w:pPr>
    </w:p>
    <w:p w:rsidR="00D9635F" w:rsidRPr="00B17849" w:rsidRDefault="00D9635F" w:rsidP="00D9635F">
      <w:pPr>
        <w:rPr>
          <w:sz w:val="22"/>
          <w:szCs w:val="22"/>
        </w:rPr>
      </w:pPr>
      <w:r w:rsidRPr="00B17849">
        <w:rPr>
          <w:b/>
          <w:sz w:val="22"/>
          <w:szCs w:val="22"/>
        </w:rPr>
        <w:t>Indicator Number and Name:</w:t>
      </w:r>
      <w:r w:rsidRPr="00B17849">
        <w:rPr>
          <w:sz w:val="22"/>
          <w:szCs w:val="22"/>
        </w:rPr>
        <w:t xml:space="preserve"> </w:t>
      </w:r>
      <w:r w:rsidR="00C03D63" w:rsidRPr="00C36A52">
        <w:rPr>
          <w:lang w:eastAsia="en-GB"/>
        </w:rPr>
        <w:t xml:space="preserve">8.8.2 </w:t>
      </w:r>
      <w:r w:rsidR="00502D3F">
        <w:rPr>
          <w:lang w:eastAsia="en-GB"/>
        </w:rPr>
        <w:t>“</w:t>
      </w:r>
      <w:r w:rsidR="00C03D63" w:rsidRPr="00A67E39">
        <w:rPr>
          <w:bCs/>
        </w:rPr>
        <w:t>Level of national compliance of labour rights (freedom of association and collective bargaining) based on International Labour Organization (ILO) textual sources and national legislation, by sex and migrant status</w:t>
      </w:r>
      <w:r w:rsidR="00502D3F">
        <w:rPr>
          <w:bCs/>
        </w:rPr>
        <w:t>”</w:t>
      </w:r>
      <w:r w:rsidR="00C03D63" w:rsidRPr="00A67E39">
        <w:rPr>
          <w:bCs/>
        </w:rPr>
        <w:t> </w:t>
      </w:r>
    </w:p>
    <w:p w:rsidR="00D9635F" w:rsidRPr="00B17849" w:rsidRDefault="00D9635F" w:rsidP="00D9635F">
      <w:pPr>
        <w:rPr>
          <w:b/>
          <w:sz w:val="22"/>
          <w:szCs w:val="22"/>
        </w:rPr>
      </w:pPr>
    </w:p>
    <w:p w:rsidR="00D9635F" w:rsidRPr="00B17849" w:rsidRDefault="00D93618" w:rsidP="00D9635F">
      <w:pPr>
        <w:rPr>
          <w:sz w:val="22"/>
          <w:szCs w:val="22"/>
        </w:rPr>
      </w:pPr>
      <w:r>
        <w:rPr>
          <w:b/>
          <w:sz w:val="22"/>
          <w:szCs w:val="22"/>
        </w:rPr>
        <w:t xml:space="preserve">Custodian </w:t>
      </w:r>
      <w:r w:rsidR="00D9635F" w:rsidRPr="00B17849">
        <w:rPr>
          <w:b/>
          <w:sz w:val="22"/>
          <w:szCs w:val="22"/>
        </w:rPr>
        <w:t xml:space="preserve">Agency: </w:t>
      </w:r>
      <w:r w:rsidR="00C03D63">
        <w:rPr>
          <w:b/>
          <w:sz w:val="22"/>
          <w:szCs w:val="22"/>
        </w:rPr>
        <w:t>International Labour Organization (ILO)</w:t>
      </w:r>
    </w:p>
    <w:p w:rsidR="00D9635F" w:rsidRPr="00B17849" w:rsidRDefault="00D9635F" w:rsidP="00D9635F">
      <w:pPr>
        <w:rPr>
          <w:b/>
          <w:sz w:val="22"/>
          <w:szCs w:val="22"/>
        </w:rPr>
      </w:pPr>
    </w:p>
    <w:p w:rsidR="00D93618" w:rsidRDefault="00D93618" w:rsidP="00C03D63">
      <w:pPr>
        <w:shd w:val="clear" w:color="auto" w:fill="FFFFFF"/>
        <w:rPr>
          <w:b/>
          <w:sz w:val="22"/>
          <w:szCs w:val="22"/>
        </w:rPr>
      </w:pPr>
      <w:r>
        <w:rPr>
          <w:b/>
          <w:sz w:val="22"/>
          <w:szCs w:val="22"/>
        </w:rPr>
        <w:t>Current Tier: III</w:t>
      </w:r>
    </w:p>
    <w:p w:rsidR="00D93618" w:rsidRDefault="00D93618" w:rsidP="00C03D63">
      <w:pPr>
        <w:shd w:val="clear" w:color="auto" w:fill="FFFFFF"/>
        <w:rPr>
          <w:b/>
          <w:sz w:val="22"/>
          <w:szCs w:val="22"/>
        </w:rPr>
      </w:pPr>
    </w:p>
    <w:p w:rsidR="00D93618" w:rsidRDefault="00D93618" w:rsidP="00C03D63">
      <w:pPr>
        <w:shd w:val="clear" w:color="auto" w:fill="FFFFFF"/>
        <w:rPr>
          <w:b/>
          <w:sz w:val="22"/>
          <w:szCs w:val="22"/>
        </w:rPr>
      </w:pPr>
      <w:r>
        <w:rPr>
          <w:b/>
          <w:sz w:val="22"/>
          <w:szCs w:val="22"/>
        </w:rPr>
        <w:t>Proposed Tier: II</w:t>
      </w:r>
    </w:p>
    <w:p w:rsidR="00D93618" w:rsidRDefault="00D93618" w:rsidP="00C03D63">
      <w:pPr>
        <w:shd w:val="clear" w:color="auto" w:fill="FFFFFF"/>
        <w:rPr>
          <w:b/>
          <w:sz w:val="22"/>
          <w:szCs w:val="22"/>
        </w:rPr>
      </w:pPr>
    </w:p>
    <w:p w:rsidR="00EA1818" w:rsidRPr="00D93618" w:rsidRDefault="00D93618" w:rsidP="001619BF">
      <w:pPr>
        <w:pStyle w:val="ListParagraph"/>
        <w:numPr>
          <w:ilvl w:val="0"/>
          <w:numId w:val="1"/>
        </w:numPr>
        <w:shd w:val="clear" w:color="auto" w:fill="FFFFFF"/>
        <w:rPr>
          <w:sz w:val="22"/>
          <w:szCs w:val="22"/>
        </w:rPr>
      </w:pPr>
      <w:r w:rsidRPr="00D93618">
        <w:rPr>
          <w:b/>
          <w:sz w:val="22"/>
          <w:szCs w:val="22"/>
        </w:rPr>
        <w:t>Background and rationale for indicator reclassification</w:t>
      </w:r>
    </w:p>
    <w:p w:rsidR="00D93618" w:rsidRPr="00D93618" w:rsidRDefault="00D93618" w:rsidP="00D93618">
      <w:pPr>
        <w:pStyle w:val="ListParagraph"/>
        <w:shd w:val="clear" w:color="auto" w:fill="FFFFFF"/>
        <w:rPr>
          <w:sz w:val="22"/>
          <w:szCs w:val="22"/>
        </w:rPr>
      </w:pPr>
    </w:p>
    <w:p w:rsidR="00D93618" w:rsidRDefault="00D93618" w:rsidP="00D93618">
      <w:pPr>
        <w:ind w:firstLine="360"/>
        <w:jc w:val="both"/>
      </w:pPr>
      <w:r>
        <w:t>In its session of March 2017, t</w:t>
      </w:r>
      <w:r>
        <w:t>he IAEG-SDG</w:t>
      </w:r>
      <w:r w:rsidRPr="00D96B19">
        <w:t xml:space="preserve"> </w:t>
      </w:r>
      <w:r>
        <w:t xml:space="preserve">discussed the indicator based on ILO textual sources and in view of the specific characteristic of it, </w:t>
      </w:r>
      <w:r w:rsidRPr="00D96B19">
        <w:t xml:space="preserve">requested </w:t>
      </w:r>
      <w:r>
        <w:t xml:space="preserve">that </w:t>
      </w:r>
      <w:r w:rsidRPr="00D96B19">
        <w:t>the method</w:t>
      </w:r>
      <w:r>
        <w:t>ology</w:t>
      </w:r>
      <w:r w:rsidRPr="00D96B19">
        <w:t xml:space="preserve"> </w:t>
      </w:r>
      <w:r>
        <w:t xml:space="preserve">be discussed in the </w:t>
      </w:r>
      <w:r>
        <w:t>20</w:t>
      </w:r>
      <w:r w:rsidRPr="00D93618">
        <w:rPr>
          <w:vertAlign w:val="superscript"/>
        </w:rPr>
        <w:t>th</w:t>
      </w:r>
      <w:r>
        <w:t xml:space="preserve">. Session of the </w:t>
      </w:r>
      <w:r w:rsidRPr="00D96B19">
        <w:t>International Conference of Labour Statisticians (ICLS) in October 2018</w:t>
      </w:r>
      <w:r>
        <w:t xml:space="preserve"> in order to adopt an internationally-agreed methodology for this indicator. The custodianship of the indicator would be given to the ILO in view of its reliance on and use of ILO textual sources generated by various supervisory bodies of the organization.  Pending the endorsement by the ICLS, the indicator is currently classified as Tier III indicator. The original indicator adopted by the UN General Assembly in July 2017 was based on a methodology that relies both on ILO and non-ILO sources.</w:t>
      </w:r>
      <w:r w:rsidRPr="00052BE5">
        <w:rPr>
          <w:rStyle w:val="FootnoteReference"/>
        </w:rPr>
        <w:t xml:space="preserve"> </w:t>
      </w:r>
      <w:r>
        <w:rPr>
          <w:rStyle w:val="FootnoteReference"/>
        </w:rPr>
        <w:footnoteReference w:id="1"/>
      </w:r>
      <w:r>
        <w:t xml:space="preserve"> Early in the process, however,</w:t>
      </w:r>
      <w:r>
        <w:t xml:space="preserve"> at the ILO request, </w:t>
      </w:r>
      <w:r>
        <w:t xml:space="preserve">the IAEG-SDG agreed that for the purpose of the SDGs, only official sources should be used and therefore decided that the indicator should rely solely on ILO textual sources. </w:t>
      </w:r>
    </w:p>
    <w:p w:rsidR="00120066" w:rsidRDefault="00120066" w:rsidP="00120066">
      <w:pPr>
        <w:ind w:firstLine="360"/>
        <w:jc w:val="both"/>
      </w:pPr>
    </w:p>
    <w:p w:rsidR="00120066" w:rsidRDefault="00120066" w:rsidP="00120066">
      <w:pPr>
        <w:shd w:val="clear" w:color="auto" w:fill="FFFFFF"/>
        <w:ind w:firstLine="360"/>
      </w:pPr>
      <w:r w:rsidRPr="0029060C">
        <w:t>Freedom of association represents the</w:t>
      </w:r>
      <w:r>
        <w:t xml:space="preserve"> </w:t>
      </w:r>
      <w:r w:rsidRPr="0029060C">
        <w:t>right of workers and employers to form and join organizations of their own choosing</w:t>
      </w:r>
      <w:r>
        <w:t>,</w:t>
      </w:r>
      <w:r w:rsidRPr="0029060C">
        <w:t xml:space="preserve"> an integral part of a free and open society. In many cases, these organizations have played a significant role in their countries’ democratic transformation.</w:t>
      </w:r>
      <w:r>
        <w:t xml:space="preserve"> </w:t>
      </w:r>
      <w:r w:rsidRPr="0029060C">
        <w:t>Collective bargaining refers to all negotiations which take place between an employer, a group of employers or one or more employers' organisations, on the one hand, and one or more workers' organisations, on the other, for: (a) determining working conditions and terms of employment; and/or (b) regulating relations between employers and workers; and/or (c) regulating relations between employers or their organisations and a workers' organisation or workers' organisations</w:t>
      </w:r>
      <w:r>
        <w:t>.</w:t>
      </w:r>
    </w:p>
    <w:p w:rsidR="00120066" w:rsidRDefault="00120066" w:rsidP="00120066">
      <w:pPr>
        <w:shd w:val="clear" w:color="auto" w:fill="FFFFFF"/>
        <w:ind w:firstLine="360"/>
      </w:pPr>
    </w:p>
    <w:p w:rsidR="00120066" w:rsidRPr="00C36A52" w:rsidRDefault="00120066" w:rsidP="00120066">
      <w:pPr>
        <w:shd w:val="clear" w:color="auto" w:fill="FFFFFF"/>
        <w:ind w:firstLine="360"/>
        <w:rPr>
          <w:rFonts w:ascii="Roboto" w:eastAsia="Times New Roman" w:hAnsi="Roboto"/>
          <w:b/>
          <w:bCs/>
          <w:color w:val="505050"/>
          <w:sz w:val="21"/>
          <w:szCs w:val="21"/>
          <w:lang w:eastAsia="en-GB"/>
        </w:rPr>
      </w:pPr>
      <w:r>
        <w:t xml:space="preserve">The indicator is defined according to ILO Conventions </w:t>
      </w:r>
      <w:r w:rsidRPr="00B606A4">
        <w:t xml:space="preserve">87 on Freedom of Association and Protection of the Right to Organize and 98 on Right to </w:t>
      </w:r>
      <w:proofErr w:type="gramStart"/>
      <w:r w:rsidRPr="00B606A4">
        <w:t>Org</w:t>
      </w:r>
      <w:r>
        <w:t>anize</w:t>
      </w:r>
      <w:proofErr w:type="gramEnd"/>
      <w:r>
        <w:t xml:space="preserve"> and Collective Bargaining and related ILO jurisprudence.  </w:t>
      </w:r>
      <w:r>
        <w:rPr>
          <w:lang w:eastAsia="en-GB"/>
        </w:rPr>
        <w:t xml:space="preserve">This indicator is </w:t>
      </w:r>
      <w:r w:rsidRPr="00044276">
        <w:rPr>
          <w:lang w:eastAsia="en-GB"/>
        </w:rPr>
        <w:t xml:space="preserve">based on coding the findings of selected sources and compiling this information in a readily accessible and concise manner. It builds on five basic elements: the premises of definitional validity, reproducibility and transparency; the 108 </w:t>
      </w:r>
      <w:r>
        <w:rPr>
          <w:lang w:eastAsia="en-GB"/>
        </w:rPr>
        <w:t>evaluation criteria</w:t>
      </w:r>
      <w:r w:rsidRPr="00044276">
        <w:rPr>
          <w:lang w:eastAsia="en-GB"/>
        </w:rPr>
        <w:t xml:space="preserve"> used to code violations in law and practice</w:t>
      </w:r>
      <w:r>
        <w:rPr>
          <w:lang w:eastAsia="en-GB"/>
        </w:rPr>
        <w:t xml:space="preserve"> (each with their own specific detailed definitions)</w:t>
      </w:r>
      <w:r w:rsidRPr="00044276">
        <w:rPr>
          <w:lang w:eastAsia="en-GB"/>
        </w:rPr>
        <w:t>; the textual sources selected for coding; the general and source-specific coding rules; and the rules to convert the coded information into normalized indicators.</w:t>
      </w:r>
      <w:r>
        <w:rPr>
          <w:lang w:eastAsia="en-GB"/>
        </w:rPr>
        <w:t xml:space="preserve"> </w:t>
      </w:r>
    </w:p>
    <w:p w:rsidR="00D93618" w:rsidRDefault="00D93618" w:rsidP="00D93618">
      <w:pPr>
        <w:jc w:val="both"/>
      </w:pPr>
    </w:p>
    <w:p w:rsidR="00323188" w:rsidRDefault="00D93618" w:rsidP="00D93618">
      <w:pPr>
        <w:ind w:firstLine="360"/>
        <w:jc w:val="both"/>
      </w:pPr>
      <w:r>
        <w:lastRenderedPageBreak/>
        <w:t>After the request of the IAEG-SDG in its March 2017 session of an endorsement by the ICLS, and with the purpose of attaining</w:t>
      </w:r>
      <w:r w:rsidRPr="00D96B19">
        <w:t xml:space="preserve"> tripartite support for the methodology prior to the ICLS</w:t>
      </w:r>
      <w:r>
        <w:t>,</w:t>
      </w:r>
      <w:r w:rsidRPr="00D96B19">
        <w:t xml:space="preserve"> the ILO and its constituents</w:t>
      </w:r>
      <w:r>
        <w:t xml:space="preserve"> (member states, workers and employers)</w:t>
      </w:r>
      <w:r w:rsidRPr="00D96B19">
        <w:t xml:space="preserve"> undertook a series of </w:t>
      </w:r>
      <w:r>
        <w:t xml:space="preserve">technical </w:t>
      </w:r>
      <w:r w:rsidRPr="00D96B19">
        <w:t>consultations</w:t>
      </w:r>
      <w:r>
        <w:t>. Subsequently</w:t>
      </w:r>
      <w:r w:rsidRPr="00D96B19">
        <w:t xml:space="preserve"> a </w:t>
      </w:r>
      <w:r>
        <w:t xml:space="preserve">formal </w:t>
      </w:r>
      <w:r w:rsidRPr="00D96B19">
        <w:t>tripartite consultation</w:t>
      </w:r>
      <w:r>
        <w:t xml:space="preserve"> was convened</w:t>
      </w:r>
      <w:r w:rsidRPr="00D96B19">
        <w:t xml:space="preserve"> in April 2018 with representatives from Governments</w:t>
      </w:r>
      <w:r>
        <w:t xml:space="preserve"> (NSOs and Ministries of Labour)</w:t>
      </w:r>
      <w:r w:rsidRPr="00D96B19">
        <w:t>, Employers and Workers.</w:t>
      </w:r>
      <w:r>
        <w:t xml:space="preserve"> These consultations resulted in a number of amendments to the </w:t>
      </w:r>
      <w:r>
        <w:t xml:space="preserve">original </w:t>
      </w:r>
      <w:r>
        <w:t xml:space="preserve">proposed indicator. While some of these amendments refer to changes in the method per se, others refer to broader issues, such as how </w:t>
      </w:r>
      <w:r w:rsidRPr="00D96B19">
        <w:t xml:space="preserve">SDG </w:t>
      </w:r>
      <w:r>
        <w:t>i</w:t>
      </w:r>
      <w:r w:rsidRPr="00D96B19">
        <w:t xml:space="preserve">ndicator 8.8.2 </w:t>
      </w:r>
      <w:r>
        <w:t xml:space="preserve">will be reported. As such, the full set of amendments </w:t>
      </w:r>
      <w:r>
        <w:t xml:space="preserve">was </w:t>
      </w:r>
      <w:r>
        <w:t xml:space="preserve">presented </w:t>
      </w:r>
      <w:r>
        <w:t>for consideration of the 20</w:t>
      </w:r>
      <w:r w:rsidRPr="00D93618">
        <w:rPr>
          <w:vertAlign w:val="superscript"/>
        </w:rPr>
        <w:t>th</w:t>
      </w:r>
      <w:r>
        <w:t>. ICLS</w:t>
      </w:r>
      <w:r>
        <w:t xml:space="preserve">. With these amendments, tripartite consensus was reached to submit the method for </w:t>
      </w:r>
      <w:r w:rsidRPr="00D96B19">
        <w:t xml:space="preserve">discussion </w:t>
      </w:r>
      <w:r w:rsidRPr="00052BE5">
        <w:t xml:space="preserve">and endorsement </w:t>
      </w:r>
      <w:r w:rsidRPr="00D96B19">
        <w:t>by the IC</w:t>
      </w:r>
      <w:r>
        <w:t xml:space="preserve">LS. The ICLS </w:t>
      </w:r>
      <w:r>
        <w:t xml:space="preserve">discussed it in a dedicated Committee established for this purpose and proposed final adoption to the Plenary of the ICLS. The ICLS approved the Resolution II of on this particular indicator as it is stated in </w:t>
      </w:r>
      <w:hyperlink r:id="rId7" w:history="1">
        <w:r w:rsidRPr="006047F8">
          <w:rPr>
            <w:rStyle w:val="Hyperlink"/>
          </w:rPr>
          <w:t>www.ilo.org/20thicls</w:t>
        </w:r>
      </w:hyperlink>
      <w:r>
        <w:t xml:space="preserve"> .</w:t>
      </w:r>
    </w:p>
    <w:p w:rsidR="00323188" w:rsidRDefault="00323188" w:rsidP="00D93618">
      <w:pPr>
        <w:ind w:firstLine="360"/>
        <w:jc w:val="both"/>
      </w:pPr>
    </w:p>
    <w:p w:rsidR="008D7236" w:rsidRDefault="00323188" w:rsidP="00D93618">
      <w:pPr>
        <w:ind w:firstLine="360"/>
        <w:jc w:val="both"/>
      </w:pPr>
      <w:r>
        <w:t xml:space="preserve">The methodology was tested </w:t>
      </w:r>
      <w:r w:rsidR="008D7236">
        <w:t>for 2016 in 1</w:t>
      </w:r>
      <w:r w:rsidR="00BF6878">
        <w:t>78</w:t>
      </w:r>
      <w:r w:rsidR="008D7236">
        <w:t xml:space="preserve"> ILO member states. The data is attached to this document. </w:t>
      </w:r>
    </w:p>
    <w:p w:rsidR="008D7236" w:rsidRDefault="008D7236" w:rsidP="00D93618">
      <w:pPr>
        <w:ind w:firstLine="360"/>
        <w:jc w:val="both"/>
      </w:pPr>
    </w:p>
    <w:p w:rsidR="008D7236" w:rsidRDefault="008D7236" w:rsidP="00D93618">
      <w:pPr>
        <w:ind w:firstLine="360"/>
        <w:jc w:val="both"/>
      </w:pPr>
      <w:r>
        <w:t>Despite the wide coverage of the pilot exercise, it is proposed as a Tier II since calculations for 2015 and subsequent years should be undertaken. Moreover, the 20</w:t>
      </w:r>
      <w:r w:rsidRPr="008D7236">
        <w:rPr>
          <w:vertAlign w:val="superscript"/>
        </w:rPr>
        <w:t>th</w:t>
      </w:r>
      <w:r>
        <w:t>. ICLS agreed that t</w:t>
      </w:r>
      <w:r>
        <w:t xml:space="preserve">he reporting of SDG indicator 8.8.2 </w:t>
      </w:r>
      <w:r>
        <w:t xml:space="preserve">should </w:t>
      </w:r>
      <w:r>
        <w:t>highlight differences between ratifying and non-ratifying countries by adding two columns alongside SDG indicator 8.8.2. The first column will indicate whether a country has ratified Convention No. 87 and the second column will indicate whether a county has ratified Convention No. 98.</w:t>
      </w:r>
      <w:r>
        <w:t xml:space="preserve"> This is still to be implemented but it will be easily done with the existing mechanism of coding. </w:t>
      </w:r>
    </w:p>
    <w:p w:rsidR="008D7236" w:rsidRDefault="008D7236" w:rsidP="00D93618">
      <w:pPr>
        <w:ind w:firstLine="360"/>
        <w:jc w:val="both"/>
      </w:pPr>
    </w:p>
    <w:p w:rsidR="00D93618" w:rsidRDefault="008D7236" w:rsidP="00D93618">
      <w:pPr>
        <w:ind w:firstLine="360"/>
        <w:jc w:val="both"/>
        <w:rPr>
          <w:lang w:eastAsia="en-GB"/>
        </w:rPr>
      </w:pPr>
      <w:r>
        <w:t>The sources of information are t</w:t>
      </w:r>
      <w:r>
        <w:rPr>
          <w:lang w:eastAsia="en-GB"/>
        </w:rPr>
        <w:t>he main textual s</w:t>
      </w:r>
      <w:r w:rsidRPr="00A05603">
        <w:rPr>
          <w:lang w:eastAsia="en-GB"/>
        </w:rPr>
        <w:t xml:space="preserve">ources </w:t>
      </w:r>
      <w:r>
        <w:rPr>
          <w:lang w:eastAsia="en-GB"/>
        </w:rPr>
        <w:t>used are r</w:t>
      </w:r>
      <w:r w:rsidRPr="00A05603">
        <w:rPr>
          <w:lang w:eastAsia="en-GB"/>
        </w:rPr>
        <w:t>eports of the ILO Committee of Experts on the Application of Conventions and Recommendations</w:t>
      </w:r>
      <w:r>
        <w:rPr>
          <w:lang w:eastAsia="en-GB"/>
        </w:rPr>
        <w:t>, r</w:t>
      </w:r>
      <w:r w:rsidRPr="00A05603">
        <w:rPr>
          <w:lang w:eastAsia="en-GB"/>
        </w:rPr>
        <w:t xml:space="preserve">eports of the ILO Conference Committee on the Application of </w:t>
      </w:r>
      <w:r>
        <w:rPr>
          <w:lang w:eastAsia="en-GB"/>
        </w:rPr>
        <w:t>S</w:t>
      </w:r>
      <w:r w:rsidRPr="00A05603">
        <w:rPr>
          <w:lang w:eastAsia="en-GB"/>
        </w:rPr>
        <w:t>tandards</w:t>
      </w:r>
      <w:r>
        <w:rPr>
          <w:lang w:eastAsia="en-GB"/>
        </w:rPr>
        <w:t>, c</w:t>
      </w:r>
      <w:r w:rsidRPr="00A05603">
        <w:rPr>
          <w:lang w:eastAsia="en-GB"/>
        </w:rPr>
        <w:t>ountry baselines under the ILO Declaration Annual Review</w:t>
      </w:r>
      <w:r>
        <w:rPr>
          <w:lang w:eastAsia="en-GB"/>
        </w:rPr>
        <w:t>, r</w:t>
      </w:r>
      <w:r w:rsidRPr="00A05603">
        <w:rPr>
          <w:lang w:eastAsia="en-GB"/>
        </w:rPr>
        <w:t>epresentations under Article 24 of the ILO Constitution</w:t>
      </w:r>
      <w:r>
        <w:rPr>
          <w:lang w:eastAsia="en-GB"/>
        </w:rPr>
        <w:t>, c</w:t>
      </w:r>
      <w:r w:rsidRPr="00A05603">
        <w:rPr>
          <w:lang w:eastAsia="en-GB"/>
        </w:rPr>
        <w:t>omplaints under Article 26 of the ILO Constitution</w:t>
      </w:r>
      <w:r>
        <w:rPr>
          <w:lang w:eastAsia="en-GB"/>
        </w:rPr>
        <w:t>, r</w:t>
      </w:r>
      <w:r w:rsidRPr="00A05603">
        <w:rPr>
          <w:lang w:eastAsia="en-GB"/>
        </w:rPr>
        <w:t>eports of the Committee on Freedom of Association</w:t>
      </w:r>
      <w:r>
        <w:rPr>
          <w:lang w:eastAsia="en-GB"/>
        </w:rPr>
        <w:t>, as well as n</w:t>
      </w:r>
      <w:r w:rsidRPr="00A05603">
        <w:rPr>
          <w:lang w:eastAsia="en-GB"/>
        </w:rPr>
        <w:t>ational legislation</w:t>
      </w:r>
      <w:r>
        <w:rPr>
          <w:lang w:eastAsia="en-GB"/>
        </w:rPr>
        <w:t>. These sources are all ILO sources coming from the ILO supervisory mechanisms and their databases. The coding is being done by independent coders coordinated by the ILO</w:t>
      </w:r>
      <w:r>
        <w:rPr>
          <w:lang w:eastAsia="en-GB"/>
        </w:rPr>
        <w:t xml:space="preserve"> and therefore it is envisaged that the information from the pilot exercise will be possible to implement immediately and information for subsequent years will be available by the end of 2019. By then, a Tier I indicator will be applied since the information will be covering </w:t>
      </w:r>
      <w:r w:rsidR="00120066">
        <w:rPr>
          <w:lang w:eastAsia="en-GB"/>
        </w:rPr>
        <w:t xml:space="preserve">185 countries. </w:t>
      </w:r>
    </w:p>
    <w:p w:rsidR="00120066" w:rsidRDefault="00120066" w:rsidP="00D93618">
      <w:pPr>
        <w:ind w:firstLine="360"/>
        <w:jc w:val="both"/>
        <w:rPr>
          <w:lang w:eastAsia="en-GB"/>
        </w:rPr>
      </w:pPr>
    </w:p>
    <w:p w:rsidR="00120066" w:rsidRPr="00120066" w:rsidRDefault="00120066" w:rsidP="00120066">
      <w:pPr>
        <w:pStyle w:val="ListParagraph"/>
        <w:numPr>
          <w:ilvl w:val="0"/>
          <w:numId w:val="1"/>
        </w:numPr>
        <w:jc w:val="both"/>
        <w:rPr>
          <w:b/>
        </w:rPr>
      </w:pPr>
      <w:r w:rsidRPr="00120066">
        <w:rPr>
          <w:b/>
        </w:rPr>
        <w:t xml:space="preserve">Information on how and when the methodology has become an international standard and who is the governing body that approves it. </w:t>
      </w:r>
    </w:p>
    <w:p w:rsidR="00120066" w:rsidRDefault="00120066" w:rsidP="00120066">
      <w:pPr>
        <w:jc w:val="both"/>
      </w:pPr>
    </w:p>
    <w:p w:rsidR="00120066" w:rsidRDefault="00120066" w:rsidP="00120066">
      <w:pPr>
        <w:jc w:val="both"/>
      </w:pPr>
      <w:r>
        <w:t xml:space="preserve">The methodology was discussed between 2016 and 2018 by a set of technical meetings convened by the ILO and involving ministries of labour, national statistical offices, workers and employers’ experts and international organizations. After these technical meetings, many refinements were introduced to the original methodology, not only on the contents and definition but also on how the indicator would have to presented and displayed in order to be clear to users. </w:t>
      </w:r>
    </w:p>
    <w:p w:rsidR="00120066" w:rsidRDefault="00120066" w:rsidP="00120066">
      <w:pPr>
        <w:jc w:val="both"/>
      </w:pPr>
    </w:p>
    <w:p w:rsidR="00120066" w:rsidRDefault="00120066" w:rsidP="00120066">
      <w:pPr>
        <w:jc w:val="both"/>
      </w:pPr>
      <w:r>
        <w:tab/>
        <w:t>In April 2018 a tripartite meeting of experts with statisticians and experts from NSOs and ministries of labour of 11 countries was held to prepare the draft technical report to be presented to the 20</w:t>
      </w:r>
      <w:r w:rsidRPr="00120066">
        <w:rPr>
          <w:vertAlign w:val="superscript"/>
        </w:rPr>
        <w:t>th</w:t>
      </w:r>
      <w:r>
        <w:t xml:space="preserve">. ICLS in October 2018. </w:t>
      </w:r>
    </w:p>
    <w:p w:rsidR="009E18CC" w:rsidRDefault="00120066" w:rsidP="009E18CC">
      <w:pPr>
        <w:spacing w:before="100" w:beforeAutospacing="1" w:after="100" w:afterAutospacing="1"/>
        <w:ind w:firstLine="720"/>
        <w:contextualSpacing/>
        <w:jc w:val="both"/>
      </w:pPr>
      <w:r>
        <w:lastRenderedPageBreak/>
        <w:tab/>
        <w:t>The 20</w:t>
      </w:r>
      <w:r w:rsidRPr="00120066">
        <w:rPr>
          <w:vertAlign w:val="superscript"/>
        </w:rPr>
        <w:t>th</w:t>
      </w:r>
      <w:r>
        <w:t>. ICLS held in Geneva last 10-19 October decided to create a dedicated Committee whose task would be to discuss in depth the suggested methodology and propose a draft resolution for consideration of the Plenary of the ICLS. These discussions were done and the 20</w:t>
      </w:r>
      <w:r w:rsidRPr="00120066">
        <w:rPr>
          <w:vertAlign w:val="superscript"/>
        </w:rPr>
        <w:t>th</w:t>
      </w:r>
      <w:r>
        <w:t>. ICLS approved its Resolution II on the 19</w:t>
      </w:r>
      <w:r w:rsidRPr="00120066">
        <w:rPr>
          <w:vertAlign w:val="superscript"/>
        </w:rPr>
        <w:t>th</w:t>
      </w:r>
      <w:r>
        <w:t xml:space="preserve"> October 2018: </w:t>
      </w:r>
      <w:hyperlink r:id="rId8" w:history="1">
        <w:r w:rsidRPr="006047F8">
          <w:rPr>
            <w:rStyle w:val="Hyperlink"/>
          </w:rPr>
          <w:t>www.ilo.org/20thicls</w:t>
        </w:r>
      </w:hyperlink>
      <w:r>
        <w:t>. It is now considered an international statistical standard. The resolution includes explicitly the methodology and the way that it suggests should be reported, particularly by including a chapeau to the metadata stating that</w:t>
      </w:r>
      <w:r w:rsidR="009E18CC">
        <w:t xml:space="preserve"> </w:t>
      </w:r>
      <w:proofErr w:type="gramStart"/>
      <w:r w:rsidR="009E18CC">
        <w:t xml:space="preserve">the </w:t>
      </w:r>
      <w:r>
        <w:t xml:space="preserve"> </w:t>
      </w:r>
      <w:r w:rsidR="009E18CC" w:rsidRPr="004A7D7B">
        <w:t>“</w:t>
      </w:r>
      <w:proofErr w:type="gramEnd"/>
      <w:r w:rsidR="009E18CC" w:rsidRPr="007B20CD">
        <w:rPr>
          <w:i/>
        </w:rPr>
        <w:t>SDG indicator 8.8.2 seeks to measure the level of national compliance with fundamental labour rights (freedom of association and collective bargaining). It is based on six International Labour Organization (ILO) supervisory body textual sources and also on national legislation. National law is not enacted for the purpose of generating a statistical indicator of compliance with fundamental rights, nor were any of the ILO textual sources created for this purpose. Indicator 8.8.2 is compiled from these sources and its use does not constitute a waiver of the respective ILO Constituents’ divergent points of view on the sources’ conclusions</w:t>
      </w:r>
      <w:r w:rsidR="009E18CC" w:rsidRPr="004A7D7B">
        <w:t>.”</w:t>
      </w:r>
    </w:p>
    <w:p w:rsidR="00120066" w:rsidRDefault="00120066" w:rsidP="00120066">
      <w:pPr>
        <w:jc w:val="both"/>
      </w:pPr>
    </w:p>
    <w:p w:rsidR="009E18CC" w:rsidRPr="00BF6878" w:rsidRDefault="009E18CC" w:rsidP="009E18CC">
      <w:pPr>
        <w:pStyle w:val="ListParagraph"/>
        <w:numPr>
          <w:ilvl w:val="0"/>
          <w:numId w:val="1"/>
        </w:numPr>
        <w:jc w:val="both"/>
        <w:rPr>
          <w:b/>
        </w:rPr>
      </w:pPr>
      <w:r w:rsidRPr="00BF6878">
        <w:rPr>
          <w:b/>
        </w:rPr>
        <w:t>Development and testing of the methodology.</w:t>
      </w:r>
    </w:p>
    <w:p w:rsidR="009E18CC" w:rsidRDefault="009E18CC" w:rsidP="009E18CC">
      <w:pPr>
        <w:jc w:val="both"/>
      </w:pPr>
    </w:p>
    <w:p w:rsidR="00C03D63" w:rsidRPr="00BF6878" w:rsidRDefault="00C03D63" w:rsidP="00D9635F">
      <w:r w:rsidRPr="00BF6878">
        <w:t>The proposed methodology derived from the consultations presented and discussed by the 20</w:t>
      </w:r>
      <w:r w:rsidRPr="00BF6878">
        <w:rPr>
          <w:vertAlign w:val="superscript"/>
        </w:rPr>
        <w:t>th</w:t>
      </w:r>
      <w:r w:rsidRPr="00BF6878">
        <w:t>. I</w:t>
      </w:r>
      <w:r w:rsidR="009E18CC" w:rsidRPr="00BF6878">
        <w:t>CLS</w:t>
      </w:r>
      <w:r w:rsidRPr="00BF6878">
        <w:t xml:space="preserve"> where national statistical offices and ministries of labour</w:t>
      </w:r>
      <w:r w:rsidR="009E18CC" w:rsidRPr="00BF6878">
        <w:t xml:space="preserve"> of 135 countries</w:t>
      </w:r>
      <w:r w:rsidRPr="00BF6878">
        <w:t xml:space="preserve">, as well as workers’ and employers’ </w:t>
      </w:r>
      <w:r w:rsidR="00502D3F" w:rsidRPr="00BF6878">
        <w:t>experts were present</w:t>
      </w:r>
      <w:r w:rsidR="00BF6878">
        <w:t xml:space="preserve"> (Please see the list of participating countries in </w:t>
      </w:r>
      <w:hyperlink r:id="rId9" w:history="1">
        <w:r w:rsidR="00BF6878" w:rsidRPr="006047F8">
          <w:rPr>
            <w:rStyle w:val="Hyperlink"/>
          </w:rPr>
          <w:t>www.ilo.org/20thicls</w:t>
        </w:r>
      </w:hyperlink>
      <w:r w:rsidR="00BF6878">
        <w:t>)</w:t>
      </w:r>
      <w:r w:rsidRPr="00BF6878">
        <w:t xml:space="preserve">. </w:t>
      </w:r>
      <w:r w:rsidR="00502D3F" w:rsidRPr="00BF6878">
        <w:t xml:space="preserve">Previously, </w:t>
      </w:r>
      <w:r w:rsidR="00161D6E" w:rsidRPr="00BF6878">
        <w:t xml:space="preserve">in April </w:t>
      </w:r>
      <w:r w:rsidRPr="00BF6878">
        <w:t xml:space="preserve">2018, a tripartite expert group </w:t>
      </w:r>
      <w:r w:rsidR="00161D6E" w:rsidRPr="00BF6878">
        <w:t xml:space="preserve">was </w:t>
      </w:r>
      <w:r w:rsidRPr="00BF6878">
        <w:t>convened to discuss the methodology in preparation to the ICLS.</w:t>
      </w:r>
      <w:r w:rsidR="00161D6E" w:rsidRPr="00BF6878">
        <w:t xml:space="preserve"> National statistical offices and ministries of Labour</w:t>
      </w:r>
      <w:r w:rsidR="00BF6878">
        <w:t xml:space="preserve"> (</w:t>
      </w:r>
      <w:r w:rsidR="00BC25A4">
        <w:t xml:space="preserve">from </w:t>
      </w:r>
      <w:r w:rsidR="00BF6878">
        <w:t>France, Niger, Philippines, Mexico, Brazil,</w:t>
      </w:r>
      <w:r w:rsidR="00BC25A4">
        <w:t xml:space="preserve"> Germany, Qatar, Sweden, </w:t>
      </w:r>
      <w:proofErr w:type="gramStart"/>
      <w:r w:rsidR="00BC25A4">
        <w:t>Spain</w:t>
      </w:r>
      <w:proofErr w:type="gramEnd"/>
      <w:r w:rsidR="00BC25A4">
        <w:t>)</w:t>
      </w:r>
      <w:r w:rsidR="00161D6E" w:rsidRPr="00BF6878">
        <w:t xml:space="preserve"> actively participated in the meeting and kept a continuous participation through virtual consultations.</w:t>
      </w:r>
      <w:r w:rsidR="00502D3F" w:rsidRPr="00BF6878">
        <w:t xml:space="preserve"> </w:t>
      </w:r>
    </w:p>
    <w:p w:rsidR="009E18CC" w:rsidRPr="00BF6878" w:rsidRDefault="009E18CC" w:rsidP="00D9635F"/>
    <w:p w:rsidR="00C03D63" w:rsidRPr="00BF6878" w:rsidRDefault="00C03D63" w:rsidP="00D9635F">
      <w:r w:rsidRPr="00BF6878">
        <w:t xml:space="preserve">A draft methodology </w:t>
      </w:r>
      <w:r w:rsidR="009E18CC" w:rsidRPr="00BF6878">
        <w:t xml:space="preserve">was initially </w:t>
      </w:r>
      <w:r w:rsidRPr="00BF6878">
        <w:t>developed and used in the Academia by the Penn State University</w:t>
      </w:r>
      <w:r w:rsidR="009E18CC" w:rsidRPr="00BF6878">
        <w:t xml:space="preserve"> in the United States, </w:t>
      </w:r>
      <w:r w:rsidRPr="00BF6878">
        <w:t xml:space="preserve">with the </w:t>
      </w:r>
      <w:r w:rsidR="009E18CC" w:rsidRPr="00BF6878">
        <w:t xml:space="preserve">technical active </w:t>
      </w:r>
      <w:r w:rsidRPr="00BF6878">
        <w:t>support of the ILO. Initially,</w:t>
      </w:r>
      <w:r w:rsidR="00502D3F" w:rsidRPr="00BF6878">
        <w:t xml:space="preserve"> the methodology included three sources (ILO, ITUC and US Department of State information). In 2016</w:t>
      </w:r>
      <w:r w:rsidR="009E18CC" w:rsidRPr="00BF6878">
        <w:t xml:space="preserve">, after initial consultations with member states, </w:t>
      </w:r>
      <w:r w:rsidR="00502D3F" w:rsidRPr="00BF6878">
        <w:t xml:space="preserve">it was agreed that </w:t>
      </w:r>
      <w:r w:rsidRPr="00BF6878">
        <w:t xml:space="preserve">only ILO sources (which are official) will be used, which is different from the original methodology which uses other sources to complement the indicator. </w:t>
      </w:r>
      <w:r w:rsidR="00161D6E" w:rsidRPr="00BF6878">
        <w:t>The original methodology has been amended by the expert meet</w:t>
      </w:r>
      <w:r w:rsidR="00502D3F" w:rsidRPr="00BF6878">
        <w:t xml:space="preserve">ings held during 2017 and 2018 and the final refinements were introduced during the ICLS deliberations (please see the report of the Conference at </w:t>
      </w:r>
      <w:hyperlink r:id="rId10" w:history="1">
        <w:r w:rsidR="00502D3F" w:rsidRPr="00BF6878">
          <w:rPr>
            <w:rStyle w:val="Hyperlink"/>
          </w:rPr>
          <w:t>www.ilo.org/20thicls</w:t>
        </w:r>
      </w:hyperlink>
      <w:r w:rsidR="00502D3F" w:rsidRPr="00BF6878">
        <w:t xml:space="preserve">) </w:t>
      </w:r>
    </w:p>
    <w:p w:rsidR="00C03D63" w:rsidRPr="00BF6878" w:rsidRDefault="00C03D63" w:rsidP="00D9635F"/>
    <w:p w:rsidR="00C03D63" w:rsidRPr="00BF6878" w:rsidRDefault="00C03D63" w:rsidP="00D9635F">
      <w:r w:rsidRPr="00BF6878">
        <w:t xml:space="preserve">Apart from this, the methodology should start incorporating the desired disaggregation by sex and migrant status and include the compliance of the selected labour rights </w:t>
      </w:r>
      <w:r w:rsidR="00BF6878" w:rsidRPr="00BF6878">
        <w:t xml:space="preserve">also to </w:t>
      </w:r>
      <w:r w:rsidRPr="00BF6878">
        <w:t>employers.</w:t>
      </w:r>
    </w:p>
    <w:p w:rsidR="00BF6878" w:rsidRPr="00BF6878" w:rsidRDefault="00BF6878" w:rsidP="00D9635F"/>
    <w:p w:rsidR="00BF6878" w:rsidRDefault="00BF6878" w:rsidP="00BF6878">
      <w:pPr>
        <w:shd w:val="clear" w:color="auto" w:fill="FFFFFF"/>
        <w:rPr>
          <w:lang w:eastAsia="en-GB"/>
        </w:rPr>
      </w:pPr>
      <w:r w:rsidRPr="00BF6878">
        <w:t>The computation of this indicator, using the former methodology, has been</w:t>
      </w:r>
      <w:r w:rsidRPr="00BF6878">
        <w:rPr>
          <w:lang w:eastAsia="en-GB"/>
        </w:rPr>
        <w:t xml:space="preserve"> done jointly by the ILO and the Penn State University, but it is envisaged that for SDG reporting the new refined methodology will be computed </w:t>
      </w:r>
      <w:r w:rsidRPr="00BF6878">
        <w:rPr>
          <w:lang w:eastAsia="en-GB"/>
        </w:rPr>
        <w:t xml:space="preserve">only </w:t>
      </w:r>
      <w:r w:rsidRPr="00BF6878">
        <w:rPr>
          <w:lang w:eastAsia="en-GB"/>
        </w:rPr>
        <w:t>by the ILO. The Resolution II of the 20</w:t>
      </w:r>
      <w:r w:rsidRPr="00BF6878">
        <w:rPr>
          <w:vertAlign w:val="superscript"/>
          <w:lang w:eastAsia="en-GB"/>
        </w:rPr>
        <w:t>th</w:t>
      </w:r>
      <w:r w:rsidRPr="00BF6878">
        <w:rPr>
          <w:lang w:eastAsia="en-GB"/>
        </w:rPr>
        <w:t xml:space="preserve">. ICLS has commended the ILO Governing body to start the implementation and computation of this indicator at the soonest. The Governing Body will approve this in its March 2019 session. A consultative </w:t>
      </w:r>
      <w:r w:rsidRPr="00BF6878">
        <w:rPr>
          <w:lang w:eastAsia="en-GB"/>
        </w:rPr>
        <w:t xml:space="preserve">tripartite </w:t>
      </w:r>
      <w:r w:rsidRPr="00BF6878">
        <w:rPr>
          <w:lang w:eastAsia="en-GB"/>
        </w:rPr>
        <w:t>mechanism has bee</w:t>
      </w:r>
      <w:r w:rsidRPr="00BF6878">
        <w:rPr>
          <w:lang w:eastAsia="en-GB"/>
        </w:rPr>
        <w:t xml:space="preserve">n introduced in the methodology which will overlook the outcomes of the indicator and suggest further refinements if needed. </w:t>
      </w:r>
    </w:p>
    <w:p w:rsidR="00BF6878" w:rsidRDefault="00BF6878" w:rsidP="00BF6878">
      <w:pPr>
        <w:shd w:val="clear" w:color="auto" w:fill="FFFFFF"/>
        <w:rPr>
          <w:lang w:eastAsia="en-GB"/>
        </w:rPr>
      </w:pPr>
    </w:p>
    <w:p w:rsidR="00BF6878" w:rsidRPr="00BF6878" w:rsidRDefault="00BF6878" w:rsidP="00BF6878">
      <w:pPr>
        <w:pStyle w:val="ListParagraph"/>
        <w:numPr>
          <w:ilvl w:val="0"/>
          <w:numId w:val="1"/>
        </w:numPr>
        <w:shd w:val="clear" w:color="auto" w:fill="FFFFFF"/>
        <w:rPr>
          <w:b/>
          <w:lang w:eastAsia="en-GB"/>
        </w:rPr>
      </w:pPr>
      <w:r w:rsidRPr="00BF6878">
        <w:rPr>
          <w:b/>
          <w:lang w:eastAsia="en-GB"/>
        </w:rPr>
        <w:t>Results of the pilot exercise</w:t>
      </w:r>
    </w:p>
    <w:p w:rsidR="00BF6878" w:rsidRDefault="00BF6878" w:rsidP="00BF6878">
      <w:pPr>
        <w:shd w:val="clear" w:color="auto" w:fill="FFFFFF"/>
        <w:rPr>
          <w:lang w:eastAsia="en-GB"/>
        </w:rPr>
      </w:pPr>
    </w:p>
    <w:p w:rsidR="00BF6878" w:rsidRDefault="00BF6878" w:rsidP="00BF6878">
      <w:pPr>
        <w:shd w:val="clear" w:color="auto" w:fill="FFFFFF"/>
        <w:rPr>
          <w:lang w:eastAsia="en-GB"/>
        </w:rPr>
      </w:pPr>
      <w:r>
        <w:rPr>
          <w:lang w:eastAsia="en-GB"/>
        </w:rPr>
        <w:lastRenderedPageBreak/>
        <w:t xml:space="preserve">The methodology was tested for 176 ILO member states passing through a process of coding detailed in the metadata description. The results of the overall normalised score, as well as the disaggregation by type of violations (in law and in practice) are presented in the attached excel file. </w:t>
      </w:r>
    </w:p>
    <w:p w:rsidR="00BC25A4" w:rsidRDefault="00BC25A4" w:rsidP="00BF6878">
      <w:pPr>
        <w:shd w:val="clear" w:color="auto" w:fill="FFFFFF"/>
        <w:rPr>
          <w:lang w:eastAsia="en-GB"/>
        </w:rPr>
      </w:pPr>
    </w:p>
    <w:p w:rsidR="00BF6878" w:rsidRDefault="00BC25A4" w:rsidP="00BC25A4">
      <w:pPr>
        <w:shd w:val="clear" w:color="auto" w:fill="FFFFFF"/>
        <w:rPr>
          <w:lang w:eastAsia="en-GB"/>
        </w:rPr>
      </w:pPr>
      <w:r>
        <w:rPr>
          <w:lang w:eastAsia="en-GB"/>
        </w:rPr>
        <w:t xml:space="preserve">After this exercise, it was recommended to add codification of violations to employers’ rights and also to start coding variables which could be helpful to disaggregate by sex and migrant status as stated in the indicator. </w:t>
      </w:r>
    </w:p>
    <w:p w:rsidR="00BC25A4" w:rsidRDefault="00BC25A4" w:rsidP="00BC25A4">
      <w:pPr>
        <w:shd w:val="clear" w:color="auto" w:fill="FFFFFF"/>
        <w:rPr>
          <w:lang w:eastAsia="en-GB"/>
        </w:rPr>
      </w:pPr>
    </w:p>
    <w:p w:rsidR="00BC25A4" w:rsidRPr="00BC25A4" w:rsidRDefault="00BC25A4" w:rsidP="00BC25A4">
      <w:pPr>
        <w:pStyle w:val="ListParagraph"/>
        <w:numPr>
          <w:ilvl w:val="0"/>
          <w:numId w:val="1"/>
        </w:numPr>
        <w:shd w:val="clear" w:color="auto" w:fill="FFFFFF"/>
        <w:rPr>
          <w:b/>
        </w:rPr>
      </w:pPr>
      <w:bookmarkStart w:id="0" w:name="_GoBack"/>
      <w:bookmarkEnd w:id="0"/>
      <w:r w:rsidRPr="00BC25A4">
        <w:rPr>
          <w:b/>
          <w:lang w:eastAsia="en-GB"/>
        </w:rPr>
        <w:t>Conclusion</w:t>
      </w:r>
    </w:p>
    <w:p w:rsidR="00D9635F" w:rsidRDefault="00D9635F" w:rsidP="00D9635F">
      <w:pPr>
        <w:rPr>
          <w:b/>
          <w:sz w:val="22"/>
          <w:szCs w:val="22"/>
        </w:rPr>
      </w:pPr>
    </w:p>
    <w:p w:rsidR="00D9635F" w:rsidRPr="00BC25A4" w:rsidRDefault="00EA1818" w:rsidP="00D9635F">
      <w:pPr>
        <w:rPr>
          <w:b/>
        </w:rPr>
      </w:pPr>
      <w:r w:rsidRPr="00BC25A4">
        <w:t xml:space="preserve">Because of the nature of the target and indicator, the data and metadata is </w:t>
      </w:r>
      <w:r w:rsidR="00BC25A4" w:rsidRPr="00BC25A4">
        <w:t xml:space="preserve">envisaged to be </w:t>
      </w:r>
      <w:r w:rsidRPr="00BC25A4">
        <w:t>collected and coded by the ILO using its mechanisms of supervision</w:t>
      </w:r>
      <w:r w:rsidR="00161D6E" w:rsidRPr="00BC25A4">
        <w:t xml:space="preserve"> and following the agreed methodology</w:t>
      </w:r>
      <w:r w:rsidRPr="00BC25A4">
        <w:t xml:space="preserve">. There are no components which derive from national statistical systems at the national levels. </w:t>
      </w:r>
      <w:r w:rsidR="000A38F7" w:rsidRPr="00BC25A4">
        <w:t>However, a consultation mechanism has been introduced in its methodology, particularly with ministries of labour</w:t>
      </w:r>
      <w:r w:rsidR="00BC25A4">
        <w:t xml:space="preserve"> actively participating in the ILO supervisory system</w:t>
      </w:r>
      <w:r w:rsidR="000A38F7" w:rsidRPr="00BC25A4">
        <w:t>.</w:t>
      </w:r>
      <w:r w:rsidR="00CF108B" w:rsidRPr="00BC25A4">
        <w:t xml:space="preserve"> In its Resolution II, the 20</w:t>
      </w:r>
      <w:r w:rsidR="00CF108B" w:rsidRPr="00BC25A4">
        <w:rPr>
          <w:vertAlign w:val="superscript"/>
        </w:rPr>
        <w:t>th</w:t>
      </w:r>
      <w:r w:rsidR="00CF108B" w:rsidRPr="00BC25A4">
        <w:t xml:space="preserve">. ICLS has decided to create a tripartite consultative body to review the results and introduce refinements if needed. </w:t>
      </w:r>
      <w:r w:rsidR="000A38F7" w:rsidRPr="00BC25A4">
        <w:t xml:space="preserve"> </w:t>
      </w:r>
    </w:p>
    <w:p w:rsidR="00BC25A4" w:rsidRDefault="00BC25A4" w:rsidP="00D9635F">
      <w:pPr>
        <w:rPr>
          <w:b/>
        </w:rPr>
      </w:pPr>
    </w:p>
    <w:p w:rsidR="00D9635F" w:rsidRPr="00B17849" w:rsidRDefault="00EA1818" w:rsidP="00D9635F">
      <w:pPr>
        <w:rPr>
          <w:b/>
          <w:sz w:val="22"/>
          <w:szCs w:val="22"/>
        </w:rPr>
      </w:pPr>
      <w:r>
        <w:t xml:space="preserve">This indicator, with its </w:t>
      </w:r>
      <w:r w:rsidR="00BA6EB4">
        <w:t xml:space="preserve">previous </w:t>
      </w:r>
      <w:r>
        <w:t>methodology,</w:t>
      </w:r>
      <w:r w:rsidRPr="004355DB">
        <w:t xml:space="preserve"> has been computed for 2000, 2005, 2009, 2012</w:t>
      </w:r>
      <w:r w:rsidR="000A38F7">
        <w:t xml:space="preserve">, </w:t>
      </w:r>
      <w:r>
        <w:t>2015</w:t>
      </w:r>
      <w:r w:rsidR="000A38F7">
        <w:t xml:space="preserve"> and 2016</w:t>
      </w:r>
      <w:r>
        <w:t xml:space="preserve">. </w:t>
      </w:r>
      <w:r w:rsidR="00BA6EB4">
        <w:t>However, now it</w:t>
      </w:r>
      <w:r>
        <w:t xml:space="preserve"> is planned to be computed annually</w:t>
      </w:r>
      <w:r w:rsidR="00BA6EB4">
        <w:t xml:space="preserve"> and make the necessary adaptations to the refined adopted methodology in order to provide data for 2015 and subsequent years. </w:t>
      </w:r>
      <w:r>
        <w:t xml:space="preserve"> </w:t>
      </w:r>
    </w:p>
    <w:p w:rsidR="00D9635F" w:rsidRPr="00B17849" w:rsidRDefault="00D9635F" w:rsidP="00D9635F">
      <w:pPr>
        <w:rPr>
          <w:b/>
          <w:sz w:val="22"/>
          <w:szCs w:val="22"/>
        </w:rPr>
      </w:pPr>
    </w:p>
    <w:p w:rsidR="00D9635F" w:rsidRPr="00BC25A4" w:rsidRDefault="00EA1818" w:rsidP="00D9635F">
      <w:pPr>
        <w:rPr>
          <w:b/>
        </w:rPr>
      </w:pPr>
      <w:r w:rsidRPr="00BC25A4">
        <w:t>As the data is coming from the ILO supervisory mechanism, it can be checked with it which is publicly available and known to member states.</w:t>
      </w:r>
      <w:r w:rsidR="00F93ADC" w:rsidRPr="00BC25A4">
        <w:t xml:space="preserve"> Users of the database </w:t>
      </w:r>
      <w:r w:rsidR="00BC25A4">
        <w:t xml:space="preserve">will </w:t>
      </w:r>
      <w:r w:rsidR="00F93ADC" w:rsidRPr="00BC25A4">
        <w:t>easily access the original texts through the database platform in order to check the independent coding process.</w:t>
      </w:r>
      <w:r w:rsidR="00BA6EB4" w:rsidRPr="00BC25A4">
        <w:t xml:space="preserve"> </w:t>
      </w:r>
    </w:p>
    <w:p w:rsidR="00D9635F" w:rsidRPr="00B17849" w:rsidRDefault="00D9635F" w:rsidP="00D9635F">
      <w:pPr>
        <w:rPr>
          <w:b/>
          <w:sz w:val="22"/>
          <w:szCs w:val="22"/>
        </w:rPr>
      </w:pPr>
    </w:p>
    <w:p w:rsidR="00AE05AE" w:rsidRDefault="00BA6EB4" w:rsidP="00EF606F">
      <w:r>
        <w:t>Now with this methodology adopted</w:t>
      </w:r>
      <w:r w:rsidR="00AE05AE">
        <w:t xml:space="preserve">, the availability of data points for 2015, 2016 for most of the countries of the world will be ready by </w:t>
      </w:r>
      <w:r>
        <w:t xml:space="preserve">the end of </w:t>
      </w:r>
      <w:r w:rsidR="00AE05AE">
        <w:t>2019 and data for 2017 and possibly 2018 could be ready available by the end of 2019</w:t>
      </w:r>
      <w:r>
        <w:t xml:space="preserve">. </w:t>
      </w:r>
    </w:p>
    <w:p w:rsidR="00AE05AE" w:rsidRDefault="00AE05AE" w:rsidP="00EF606F"/>
    <w:p w:rsidR="00B74052" w:rsidRDefault="00B74052" w:rsidP="00B74052">
      <w:pPr>
        <w:shd w:val="clear" w:color="auto" w:fill="FFFFFF"/>
        <w:rPr>
          <w:rFonts w:ascii="Roboto" w:hAnsi="Roboto"/>
          <w:b/>
          <w:bCs/>
          <w:color w:val="505050"/>
          <w:sz w:val="21"/>
          <w:szCs w:val="21"/>
        </w:rPr>
      </w:pPr>
      <w:r>
        <w:rPr>
          <w:rFonts w:ascii="Roboto" w:hAnsi="Roboto"/>
          <w:b/>
          <w:bCs/>
          <w:color w:val="505050"/>
          <w:sz w:val="21"/>
          <w:szCs w:val="21"/>
        </w:rPr>
        <w:t>References</w:t>
      </w:r>
    </w:p>
    <w:p w:rsidR="00B74052" w:rsidRDefault="00B74052" w:rsidP="00B74052">
      <w:pPr>
        <w:rPr>
          <w:rFonts w:asciiTheme="minorHAnsi" w:hAnsiTheme="minorHAnsi"/>
          <w:color w:val="auto"/>
          <w:sz w:val="22"/>
          <w:szCs w:val="22"/>
        </w:rPr>
      </w:pPr>
      <w:r>
        <w:t xml:space="preserve">ILO Freedom of Association and Protection of the Right to Organise Convention, 1948 (No. 87): </w:t>
      </w:r>
      <w:hyperlink r:id="rId11" w:history="1">
        <w:r>
          <w:rPr>
            <w:rStyle w:val="Hyperlink"/>
            <w:rFonts w:ascii="Roboto" w:hAnsi="Roboto"/>
            <w:b/>
            <w:bCs/>
            <w:sz w:val="21"/>
            <w:szCs w:val="21"/>
          </w:rPr>
          <w:t>http://www.ilo.org/dyn/normlex/en/f?p=NORMLEXPUB:12100:0::NO::P12100_ILO_CODE:C087</w:t>
        </w:r>
      </w:hyperlink>
    </w:p>
    <w:p w:rsidR="00B74052" w:rsidRDefault="00B74052" w:rsidP="00B74052">
      <w:r>
        <w:t xml:space="preserve">ILO C098 - Right to Organise and Collective Bargaining Convention, 1949 (No. 98): </w:t>
      </w:r>
      <w:hyperlink r:id="rId12" w:history="1">
        <w:r>
          <w:rPr>
            <w:rStyle w:val="Hyperlink"/>
            <w:rFonts w:ascii="Roboto" w:hAnsi="Roboto"/>
            <w:b/>
            <w:bCs/>
            <w:sz w:val="21"/>
            <w:szCs w:val="21"/>
          </w:rPr>
          <w:t>http://www.ilo.org/dyn/normlex/en/f?p=NORMLEXPUB:12100:0::NO:12100:P12100_INSTRUMENT_ID:312243:NO</w:t>
        </w:r>
      </w:hyperlink>
    </w:p>
    <w:p w:rsidR="00B74052" w:rsidRDefault="00B74052" w:rsidP="00B74052">
      <w:r>
        <w:t xml:space="preserve">Decent Work Indicators Manual: </w:t>
      </w:r>
      <w:hyperlink r:id="rId13" w:history="1">
        <w:r>
          <w:rPr>
            <w:rStyle w:val="Hyperlink"/>
            <w:rFonts w:ascii="Roboto" w:hAnsi="Roboto"/>
            <w:b/>
            <w:bCs/>
            <w:sz w:val="21"/>
            <w:szCs w:val="21"/>
          </w:rPr>
          <w:t>http://www.ilo.org/wcmsp5/groups/public/---</w:t>
        </w:r>
        <w:proofErr w:type="spellStart"/>
        <w:r>
          <w:rPr>
            <w:rStyle w:val="Hyperlink"/>
            <w:rFonts w:ascii="Roboto" w:hAnsi="Roboto"/>
            <w:b/>
            <w:bCs/>
            <w:sz w:val="21"/>
            <w:szCs w:val="21"/>
          </w:rPr>
          <w:t>dgreports</w:t>
        </w:r>
        <w:proofErr w:type="spellEnd"/>
        <w:r>
          <w:rPr>
            <w:rStyle w:val="Hyperlink"/>
            <w:rFonts w:ascii="Roboto" w:hAnsi="Roboto"/>
            <w:b/>
            <w:bCs/>
            <w:sz w:val="21"/>
            <w:szCs w:val="21"/>
          </w:rPr>
          <w:t>/---stat/documents/publication/wcms_223121.pdf</w:t>
        </w:r>
      </w:hyperlink>
    </w:p>
    <w:p w:rsidR="00B74052" w:rsidRDefault="00B74052" w:rsidP="00B74052">
      <w:r>
        <w:t xml:space="preserve">Kucera and Sari, New “Labour Rights Indicators”: Method and Results: </w:t>
      </w:r>
      <w:hyperlink r:id="rId14" w:history="1">
        <w:r>
          <w:rPr>
            <w:rStyle w:val="Hyperlink"/>
            <w:rFonts w:ascii="Roboto" w:hAnsi="Roboto"/>
            <w:b/>
            <w:bCs/>
            <w:sz w:val="21"/>
            <w:szCs w:val="21"/>
          </w:rPr>
          <w:t>http://labour-rights-indicators.la.psu.edu/docs/Method%20Paper.pdf</w:t>
        </w:r>
      </w:hyperlink>
      <w:r>
        <w:t xml:space="preserve"> </w:t>
      </w:r>
    </w:p>
    <w:p w:rsidR="00B74052" w:rsidRDefault="00B74052" w:rsidP="00B74052">
      <w:r>
        <w:t xml:space="preserve">Kucera and Sari, New “Labour Rights Indicators”: Coding Rules and Definitions: </w:t>
      </w:r>
      <w:hyperlink r:id="rId15" w:history="1">
        <w:r>
          <w:rPr>
            <w:rStyle w:val="Hyperlink"/>
            <w:rFonts w:ascii="Roboto" w:hAnsi="Roboto"/>
            <w:b/>
            <w:bCs/>
            <w:sz w:val="21"/>
            <w:szCs w:val="21"/>
          </w:rPr>
          <w:t>http://labour-rights-indicators.la.psu.edu/docs/Coding%20Rules.pdf</w:t>
        </w:r>
      </w:hyperlink>
      <w:r>
        <w:t xml:space="preserve"> </w:t>
      </w:r>
    </w:p>
    <w:p w:rsidR="00B74052" w:rsidRDefault="00B74052" w:rsidP="00B74052">
      <w:pPr>
        <w:rPr>
          <w:rFonts w:ascii="Roboto" w:hAnsi="Roboto"/>
          <w:b/>
          <w:bCs/>
          <w:color w:val="505050"/>
          <w:sz w:val="21"/>
          <w:szCs w:val="21"/>
          <w:shd w:val="clear" w:color="auto" w:fill="FFFFFF"/>
        </w:rPr>
      </w:pPr>
    </w:p>
    <w:p w:rsidR="00B74052" w:rsidRDefault="00B74052" w:rsidP="00EF606F">
      <w:pPr>
        <w:rPr>
          <w:b/>
          <w:bCs/>
          <w:sz w:val="22"/>
          <w:szCs w:val="22"/>
        </w:rPr>
      </w:pPr>
    </w:p>
    <w:p w:rsidR="00A70551" w:rsidRDefault="00A70551" w:rsidP="00EF606F">
      <w:pPr>
        <w:rPr>
          <w:b/>
          <w:bCs/>
          <w:sz w:val="22"/>
          <w:szCs w:val="22"/>
        </w:rPr>
      </w:pPr>
    </w:p>
    <w:p w:rsidR="00A70551" w:rsidRPr="00A70551" w:rsidRDefault="00A70551" w:rsidP="00EF606F">
      <w:pPr>
        <w:rPr>
          <w:i/>
          <w:iCs/>
          <w:sz w:val="22"/>
          <w:szCs w:val="22"/>
        </w:rPr>
      </w:pPr>
    </w:p>
    <w:sectPr w:rsidR="00A70551" w:rsidRPr="00A7055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302F" w:rsidRDefault="002D302F" w:rsidP="00EF606F">
      <w:r>
        <w:separator/>
      </w:r>
    </w:p>
  </w:endnote>
  <w:endnote w:type="continuationSeparator" w:id="0">
    <w:p w:rsidR="002D302F" w:rsidRDefault="002D302F" w:rsidP="00EF6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Roboto">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302F" w:rsidRDefault="002D302F" w:rsidP="00EF606F">
      <w:r>
        <w:separator/>
      </w:r>
    </w:p>
  </w:footnote>
  <w:footnote w:type="continuationSeparator" w:id="0">
    <w:p w:rsidR="002D302F" w:rsidRDefault="002D302F" w:rsidP="00EF606F">
      <w:r>
        <w:continuationSeparator/>
      </w:r>
    </w:p>
  </w:footnote>
  <w:footnote w:id="1">
    <w:p w:rsidR="00D93618" w:rsidRPr="00A818FC" w:rsidRDefault="00D93618" w:rsidP="00D93618">
      <w:pPr>
        <w:pStyle w:val="FootnoteText"/>
        <w:ind w:left="284"/>
      </w:pPr>
      <w:r>
        <w:rPr>
          <w:rStyle w:val="FootnoteReference"/>
        </w:rPr>
        <w:footnoteRef/>
      </w:r>
      <w:r>
        <w:t xml:space="preserve"> For the </w:t>
      </w:r>
      <w:r w:rsidRPr="00052BE5">
        <w:t>original methodology,</w:t>
      </w:r>
      <w:r>
        <w:t xml:space="preserve"> </w:t>
      </w:r>
      <w:r w:rsidRPr="00E5434C">
        <w:t>see</w:t>
      </w:r>
      <w:r>
        <w:t xml:space="preserve"> Kucera and Sari (forthcoming)</w:t>
      </w:r>
      <w:r w:rsidRPr="00E5434C">
        <w:t xml:space="preserve"> at: </w:t>
      </w:r>
      <w:hyperlink r:id="rId1" w:history="1">
        <w:r w:rsidRPr="001C2C35">
          <w:rPr>
            <w:rStyle w:val="Hyperlink"/>
          </w:rPr>
          <w:t>https://onlinelibrary.wiley.com/doi/abs/10.1111/ilr.12084</w:t>
        </w:r>
      </w:hyperlink>
      <w:r w:rsidRPr="00E5434C">
        <w:t xml:space="preserve">; </w:t>
      </w:r>
      <w:r>
        <w:t>F</w:t>
      </w:r>
      <w:r w:rsidRPr="00E5434C">
        <w:t xml:space="preserve">or data currently available, see at: </w:t>
      </w:r>
      <w:hyperlink r:id="rId2" w:history="1">
        <w:r w:rsidRPr="00E5434C">
          <w:rPr>
            <w:rStyle w:val="Hyperlink"/>
          </w:rPr>
          <w:t>http://labour-rights-indicators.la.psu.edu/</w:t>
        </w:r>
      </w:hyperlink>
      <w: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5A2896"/>
    <w:multiLevelType w:val="hybridMultilevel"/>
    <w:tmpl w:val="FF7CD55C"/>
    <w:lvl w:ilvl="0" w:tplc="D150A35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35F"/>
    <w:rsid w:val="000A38F7"/>
    <w:rsid w:val="00120066"/>
    <w:rsid w:val="00147A1C"/>
    <w:rsid w:val="00161D6E"/>
    <w:rsid w:val="00184263"/>
    <w:rsid w:val="001C43BE"/>
    <w:rsid w:val="001F7741"/>
    <w:rsid w:val="002D302F"/>
    <w:rsid w:val="00323188"/>
    <w:rsid w:val="0035634B"/>
    <w:rsid w:val="00374D74"/>
    <w:rsid w:val="004B0FD8"/>
    <w:rsid w:val="00502D3F"/>
    <w:rsid w:val="007B437B"/>
    <w:rsid w:val="008D7236"/>
    <w:rsid w:val="009E18CC"/>
    <w:rsid w:val="00A70551"/>
    <w:rsid w:val="00AC1AA0"/>
    <w:rsid w:val="00AE05AE"/>
    <w:rsid w:val="00B161C5"/>
    <w:rsid w:val="00B74052"/>
    <w:rsid w:val="00BA6EB4"/>
    <w:rsid w:val="00BC25A4"/>
    <w:rsid w:val="00BF6878"/>
    <w:rsid w:val="00C03D63"/>
    <w:rsid w:val="00C65F86"/>
    <w:rsid w:val="00CF108B"/>
    <w:rsid w:val="00D6429E"/>
    <w:rsid w:val="00D75E44"/>
    <w:rsid w:val="00D93618"/>
    <w:rsid w:val="00D9635F"/>
    <w:rsid w:val="00EA1818"/>
    <w:rsid w:val="00EF606F"/>
    <w:rsid w:val="00F6790A"/>
    <w:rsid w:val="00F72ED6"/>
    <w:rsid w:val="00F93AD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16178C6-78AF-4109-BD88-759583F5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635F"/>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 w:type="paragraph" w:styleId="Header">
    <w:name w:val="header"/>
    <w:basedOn w:val="Normal"/>
    <w:link w:val="HeaderChar"/>
    <w:uiPriority w:val="99"/>
    <w:unhideWhenUsed/>
    <w:rsid w:val="00EF606F"/>
    <w:pPr>
      <w:tabs>
        <w:tab w:val="center" w:pos="4513"/>
        <w:tab w:val="right" w:pos="9026"/>
      </w:tabs>
    </w:pPr>
  </w:style>
  <w:style w:type="character" w:customStyle="1" w:styleId="HeaderChar">
    <w:name w:val="Header Char"/>
    <w:basedOn w:val="DefaultParagraphFont"/>
    <w:link w:val="Header"/>
    <w:uiPriority w:val="99"/>
    <w:rsid w:val="00EF606F"/>
  </w:style>
  <w:style w:type="paragraph" w:styleId="Footer">
    <w:name w:val="footer"/>
    <w:basedOn w:val="Normal"/>
    <w:link w:val="FooterChar"/>
    <w:uiPriority w:val="99"/>
    <w:unhideWhenUsed/>
    <w:rsid w:val="00EF606F"/>
    <w:pPr>
      <w:tabs>
        <w:tab w:val="center" w:pos="4513"/>
        <w:tab w:val="right" w:pos="9026"/>
      </w:tabs>
    </w:pPr>
  </w:style>
  <w:style w:type="character" w:customStyle="1" w:styleId="FooterChar">
    <w:name w:val="Footer Char"/>
    <w:basedOn w:val="DefaultParagraphFont"/>
    <w:link w:val="Footer"/>
    <w:uiPriority w:val="99"/>
    <w:rsid w:val="00EF606F"/>
  </w:style>
  <w:style w:type="character" w:styleId="Hyperlink">
    <w:name w:val="Hyperlink"/>
    <w:basedOn w:val="DefaultParagraphFont"/>
    <w:uiPriority w:val="99"/>
    <w:unhideWhenUsed/>
    <w:rsid w:val="00C03D63"/>
    <w:rPr>
      <w:color w:val="0000FF" w:themeColor="hyperlink"/>
      <w:u w:val="single"/>
    </w:rPr>
  </w:style>
  <w:style w:type="paragraph" w:styleId="FootnoteText">
    <w:name w:val="footnote text"/>
    <w:aliases w:val="Char Char,Char"/>
    <w:link w:val="FootnoteTextChar"/>
    <w:uiPriority w:val="99"/>
    <w:rsid w:val="00D93618"/>
    <w:pPr>
      <w:spacing w:before="240"/>
      <w:ind w:left="1134"/>
      <w:jc w:val="both"/>
    </w:pPr>
    <w:rPr>
      <w:rFonts w:eastAsia="Times New Roman"/>
      <w:color w:val="auto"/>
      <w:sz w:val="20"/>
      <w:szCs w:val="20"/>
      <w:lang w:val="en-US"/>
    </w:rPr>
  </w:style>
  <w:style w:type="character" w:customStyle="1" w:styleId="FootnoteTextChar">
    <w:name w:val="Footnote Text Char"/>
    <w:aliases w:val="Char Char Char,Char Char1"/>
    <w:basedOn w:val="DefaultParagraphFont"/>
    <w:link w:val="FootnoteText"/>
    <w:uiPriority w:val="99"/>
    <w:rsid w:val="00D93618"/>
    <w:rPr>
      <w:rFonts w:eastAsia="Times New Roman"/>
      <w:color w:val="auto"/>
      <w:sz w:val="20"/>
      <w:szCs w:val="20"/>
      <w:lang w:val="en-US"/>
    </w:rPr>
  </w:style>
  <w:style w:type="character" w:styleId="FootnoteReference">
    <w:name w:val="footnote reference"/>
    <w:uiPriority w:val="99"/>
    <w:rsid w:val="00D93618"/>
    <w:rPr>
      <w:vertAlign w:val="superscript"/>
    </w:rPr>
  </w:style>
  <w:style w:type="character" w:styleId="FollowedHyperlink">
    <w:name w:val="FollowedHyperlink"/>
    <w:basedOn w:val="DefaultParagraphFont"/>
    <w:uiPriority w:val="99"/>
    <w:semiHidden/>
    <w:unhideWhenUsed/>
    <w:rsid w:val="00D9361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93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lo.org/20thicls" TargetMode="External"/><Relationship Id="rId13" Type="http://schemas.openxmlformats.org/officeDocument/2006/relationships/hyperlink" Target="http://www.ilo.org/wcmsp5/groups/public/---dgreports/---stat/documents/publication/wcms_223121.pdf" TargetMode="External"/><Relationship Id="rId3" Type="http://schemas.openxmlformats.org/officeDocument/2006/relationships/settings" Target="settings.xml"/><Relationship Id="rId7" Type="http://schemas.openxmlformats.org/officeDocument/2006/relationships/hyperlink" Target="http://www.ilo.org/20thicls" TargetMode="External"/><Relationship Id="rId12" Type="http://schemas.openxmlformats.org/officeDocument/2006/relationships/hyperlink" Target="http://www.ilo.org/dyn/normlex/en/f?p=NORMLEXPUB:12100:0::NO:12100:P12100_INSTRUMENT_ID:312243:NO"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lo.org/dyn/normlex/en/f?p=NORMLEXPUB:12100:0::NO::P12100_ILO_CODE:C087" TargetMode="External"/><Relationship Id="rId5" Type="http://schemas.openxmlformats.org/officeDocument/2006/relationships/footnotes" Target="footnotes.xml"/><Relationship Id="rId15" Type="http://schemas.openxmlformats.org/officeDocument/2006/relationships/hyperlink" Target="http://labour-rights-indicators.la.psu.edu/docs/Coding%20Rules.pdf" TargetMode="External"/><Relationship Id="rId10" Type="http://schemas.openxmlformats.org/officeDocument/2006/relationships/hyperlink" Target="http://www.ilo.org/20thicls" TargetMode="External"/><Relationship Id="rId4" Type="http://schemas.openxmlformats.org/officeDocument/2006/relationships/webSettings" Target="webSettings.xml"/><Relationship Id="rId9" Type="http://schemas.openxmlformats.org/officeDocument/2006/relationships/hyperlink" Target="http://www.ilo.org/20thicls" TargetMode="External"/><Relationship Id="rId14" Type="http://schemas.openxmlformats.org/officeDocument/2006/relationships/hyperlink" Target="http://labour-rights-indicators.la.psu.edu/docs/Method%20Paper.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labour-rights-indicators.la.psu.edu/" TargetMode="External"/><Relationship Id="rId1" Type="http://schemas.openxmlformats.org/officeDocument/2006/relationships/hyperlink" Target="https://onlinelibrary.wiley.com/doi/abs/10.1111/ilr.1208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2015</Words>
  <Characters>11492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13481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 Rae</dc:creator>
  <cp:lastModifiedBy>Diez de Medina, Rafael</cp:lastModifiedBy>
  <cp:revision>2</cp:revision>
  <dcterms:created xsi:type="dcterms:W3CDTF">2018-11-14T12:33:00Z</dcterms:created>
  <dcterms:modified xsi:type="dcterms:W3CDTF">2018-11-14T12:33:00Z</dcterms:modified>
</cp:coreProperties>
</file>